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90BDB71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CE6A82">
        <w:rPr>
          <w:rFonts w:cstheme="minorHAnsi"/>
          <w:sz w:val="21"/>
          <w:szCs w:val="21"/>
        </w:rPr>
        <w:t>10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E6A82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CE6A82">
        <w:rPr>
          <w:rFonts w:cstheme="minorHAnsi"/>
          <w:sz w:val="21"/>
          <w:szCs w:val="21"/>
        </w:rPr>
        <w:t>12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D4775F">
        <w:rPr>
          <w:rFonts w:cstheme="minorHAnsi"/>
          <w:sz w:val="21"/>
          <w:szCs w:val="21"/>
        </w:rPr>
        <w:t>2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B5C71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F09F8E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AD" w14:textId="4C9FA4EB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AB5C71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331227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BA" w14:textId="1F04774B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B5C71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B5C71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CEFC6F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05AFFF8B" w:rsidR="00AB5C71" w:rsidRPr="004A4661" w:rsidRDefault="00AB5C71" w:rsidP="00AB5C71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B5C71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B5C71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AB5C71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AB5C71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AB5C71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AB5C71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B5C71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C71" w:rsidRPr="00B87515" w14:paraId="759031F9" w14:textId="77777777" w:rsidTr="00AD03BB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373181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F8" w14:textId="61706BF8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AB5C71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63334F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05" w14:textId="1584DF59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AB5C71" w:rsidRPr="00E60856" w:rsidRDefault="00AB5C71" w:rsidP="00AB5C71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AB5C71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B00D5D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12" w14:textId="3A194F89" w:rsidR="00AB5C71" w:rsidRPr="00E60856" w:rsidRDefault="00AB5C71" w:rsidP="00AB5C71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AB5C71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2BED7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1E" w14:textId="3742F8CE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22E5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26" w14:textId="72F85C9A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AB5C71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1304525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22F" w14:textId="27D6A5EC" w:rsidR="00AB5C71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AB5C71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B5C71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B5C71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AB5C71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AB5C71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AB5C71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AB5C71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4347C1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4347C1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4347C1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65BED0AA" w:rsidR="00A976C9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A85C47"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CE11F9" w:rsidRPr="00996D10">
              <w:rPr>
                <w:rFonts w:ascii="Calibri" w:hAnsi="Calibri" w:cs="Calibri"/>
                <w:color w:val="000000" w:themeColor="text1"/>
              </w:rPr>
              <w:t>0.</w:t>
            </w:r>
            <w:r w:rsidR="005326A1" w:rsidRPr="00996D10">
              <w:rPr>
                <w:rFonts w:ascii="Calibri" w:hAnsi="Calibri" w:cs="Calibri"/>
                <w:color w:val="000000" w:themeColor="text1"/>
              </w:rPr>
              <w:t>1</w:t>
            </w:r>
            <w:r w:rsidR="00996D10" w:rsidRPr="00996D10">
              <w:rPr>
                <w:rFonts w:ascii="Calibri" w:hAnsi="Calibri" w:cs="Calibri"/>
                <w:color w:val="000000" w:themeColor="text1"/>
              </w:rPr>
              <w:t>2</w:t>
            </w:r>
            <w:r w:rsidR="004A4661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4347C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4347C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45ADFB6C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347C1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3.</w:t>
            </w:r>
            <w:r w:rsidR="00CE6A82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96D10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7</w:t>
            </w:r>
            <w:r w:rsidR="00CE6A82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5</w:t>
            </w:r>
            <w:r w:rsidR="00ED1CC6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A826EC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38E" w14:textId="7DEA23EA" w:rsidR="00045203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70D5B3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398" w14:textId="75C2FA15" w:rsidR="00045203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00F176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3A6" w14:textId="433C2332" w:rsidR="00045203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206E9F" w14:textId="77777777" w:rsidR="00AB5C71" w:rsidRPr="00B87515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033CA" w14:textId="1F40A2EE" w:rsidR="00045203" w:rsidRPr="00E60856" w:rsidRDefault="00AB5C71" w:rsidP="00AB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6AF74880" w:rsidR="00547CFC" w:rsidRPr="004347C1" w:rsidRDefault="00C64152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543.72</w:t>
            </w:r>
            <w:r w:rsidR="00996D10" w:rsidRPr="00996D1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4347C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B87515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6B447053" w:rsidR="00547CFC" w:rsidRPr="004347C1" w:rsidRDefault="00C6415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424.42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B87515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4347C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B87515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4347C1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B87515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4347C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77CD2AE9" w:rsidR="00547CFC" w:rsidRPr="004347C1" w:rsidRDefault="00C6415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</w:rPr>
              <w:t>3,650.61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0D5BA6F4" w:rsidR="00547CFC" w:rsidRPr="004347C1" w:rsidRDefault="00C64152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>
              <w:rPr>
                <w:rFonts w:ascii="Calibri" w:hAnsi="Calibri"/>
                <w:color w:val="000000" w:themeColor="text1"/>
              </w:rPr>
              <w:t>3,034.82</w:t>
            </w:r>
            <w:r w:rsidR="00996D10" w:rsidRPr="00996D10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4347C1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AE0FD0F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802284"/>
    <w:rsid w:val="00811A2E"/>
    <w:rsid w:val="00837F54"/>
    <w:rsid w:val="00845CBF"/>
    <w:rsid w:val="00860CA2"/>
    <w:rsid w:val="0087563D"/>
    <w:rsid w:val="00895E90"/>
    <w:rsid w:val="008D6A29"/>
    <w:rsid w:val="008E051B"/>
    <w:rsid w:val="00912FD8"/>
    <w:rsid w:val="00915BDE"/>
    <w:rsid w:val="0092015C"/>
    <w:rsid w:val="00940135"/>
    <w:rsid w:val="009418A7"/>
    <w:rsid w:val="00994613"/>
    <w:rsid w:val="00996D10"/>
    <w:rsid w:val="00A23617"/>
    <w:rsid w:val="00A4533D"/>
    <w:rsid w:val="00A72459"/>
    <w:rsid w:val="00A85C47"/>
    <w:rsid w:val="00A976C9"/>
    <w:rsid w:val="00AB5C71"/>
    <w:rsid w:val="00B215CA"/>
    <w:rsid w:val="00B375B4"/>
    <w:rsid w:val="00B51FE8"/>
    <w:rsid w:val="00B60038"/>
    <w:rsid w:val="00B87515"/>
    <w:rsid w:val="00BC1843"/>
    <w:rsid w:val="00BD09EE"/>
    <w:rsid w:val="00C64152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0931CE-9E01-4F5B-92B4-CEE65EC9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3</cp:revision>
  <cp:lastPrinted>2013-12-20T13:15:00Z</cp:lastPrinted>
  <dcterms:created xsi:type="dcterms:W3CDTF">2023-01-16T10:18:00Z</dcterms:created>
  <dcterms:modified xsi:type="dcterms:W3CDTF">2023-01-16T10:21:00Z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