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77777777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E60856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8D6A29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E60856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201</w:t>
      </w:r>
      <w:r w:rsidR="00E60856">
        <w:rPr>
          <w:rFonts w:cstheme="minorHAnsi"/>
          <w:sz w:val="21"/>
          <w:szCs w:val="21"/>
        </w:rPr>
        <w:t>7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5256B027" w:rsidR="001421B0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>
              <w:rPr>
                <w:rFonts w:cstheme="minorHAnsi"/>
                <w:sz w:val="20"/>
                <w:szCs w:val="20"/>
              </w:rPr>
              <w:t>dana</w:t>
            </w:r>
            <w:proofErr w:type="spellEnd"/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41FE9700" w:rsidR="001421B0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1421B0" w:rsidRPr="00B87515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994613" w:rsidRPr="00B87515" w:rsidRDefault="00994613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C7" w14:textId="4750838F" w:rsidR="001421B0" w:rsidRPr="00B87515" w:rsidRDefault="00547CFC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1421B0" w:rsidRPr="00B87515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8751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421B0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6D0FE973" w:rsidR="001421B0" w:rsidRPr="00E60856" w:rsidRDefault="00547CFC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8,82</w:t>
            </w:r>
            <w:r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421B0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25EF177C" w:rsidR="001421B0" w:rsidRPr="00E60856" w:rsidRDefault="00547CFC" w:rsidP="005B11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 xml:space="preserve">2,94 </w:t>
            </w:r>
            <w:proofErr w:type="spellStart"/>
            <w:r w:rsidRPr="00547CFC">
              <w:rPr>
                <w:rFonts w:cstheme="minorHAnsi"/>
                <w:sz w:val="20"/>
                <w:szCs w:val="20"/>
              </w:rPr>
              <w:t>sata</w:t>
            </w:r>
            <w:proofErr w:type="spellEnd"/>
          </w:p>
        </w:tc>
      </w:tr>
      <w:tr w:rsidR="001421B0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1421B0" w:rsidRPr="00E60856" w:rsidRDefault="001421B0" w:rsidP="00A72459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8751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5A55F8C2" w:rsidR="001421B0" w:rsidRPr="00E60856" w:rsidRDefault="00547CFC" w:rsidP="005B1112">
            <w:pPr>
              <w:rPr>
                <w:rFonts w:ascii="Calibri" w:hAnsi="Calibri"/>
                <w:color w:val="000000"/>
                <w:highlight w:val="green"/>
              </w:rPr>
            </w:pPr>
            <w:r w:rsidRPr="00547CFC">
              <w:rPr>
                <w:rFonts w:ascii="Calibri" w:hAnsi="Calibri"/>
                <w:color w:val="000000"/>
              </w:rPr>
              <w:t xml:space="preserve">23,34 </w:t>
            </w:r>
            <w:proofErr w:type="spellStart"/>
            <w:r w:rsidRPr="00547CFC">
              <w:rPr>
                <w:rFonts w:ascii="Calibri" w:hAnsi="Calibri"/>
                <w:color w:val="000000"/>
              </w:rPr>
              <w:t>sata</w:t>
            </w:r>
            <w:proofErr w:type="spellEnd"/>
          </w:p>
        </w:tc>
      </w:tr>
      <w:tr w:rsidR="001421B0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1421B0" w:rsidRPr="00E60856" w:rsidRDefault="001421B0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20B12090" w:rsidR="00994613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8751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463B0A41" w:rsidR="00994613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8751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994613" w:rsidRPr="00E60856" w:rsidRDefault="00994613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1421B0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62054690" w:rsidR="001421B0" w:rsidRPr="00E60856" w:rsidRDefault="00547CFC" w:rsidP="00A724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547CFC">
              <w:rPr>
                <w:rFonts w:cstheme="minorHAnsi"/>
                <w:sz w:val="20"/>
                <w:szCs w:val="20"/>
              </w:rPr>
              <w:t>100%</w:t>
            </w:r>
          </w:p>
        </w:tc>
      </w:tr>
      <w:tr w:rsidR="001421B0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8751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8751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8751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8751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8751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8751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994613" w:rsidRPr="00B87515" w:rsidRDefault="0099461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6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auto"/>
        <w:ind w:left="8960"/>
        <w:rPr>
          <w:rFonts w:cstheme="minorHAnsi"/>
          <w:sz w:val="24"/>
          <w:szCs w:val="24"/>
        </w:rPr>
      </w:pPr>
      <w:r w:rsidRPr="00B87515">
        <w:rPr>
          <w:rFonts w:cstheme="minorHAnsi"/>
          <w:sz w:val="21"/>
          <w:szCs w:val="21"/>
        </w:rPr>
        <w:t>5</w:t>
      </w: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7590325A" w14:textId="71231205" w:rsidR="00A976C9" w:rsidRPr="00804F93" w:rsidRDefault="00547CFC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>0,34%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69773F9A" w:rsidR="00A976C9" w:rsidRPr="00E60856" w:rsidRDefault="00547CFC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 w:rsidRPr="00547CFC">
              <w:rPr>
                <w:rFonts w:eastAsiaTheme="minorHAnsi" w:cstheme="minorHAnsi"/>
                <w:sz w:val="20"/>
                <w:szCs w:val="20"/>
              </w:rPr>
              <w:t>0,85</w:t>
            </w:r>
            <w:r>
              <w:rPr>
                <w:rFonts w:eastAsiaTheme="minorHAnsi" w:cstheme="minorHAnsi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C6" w14:textId="11291BFA" w:rsidR="001421B0" w:rsidRPr="00E60856" w:rsidRDefault="00547CFC" w:rsidP="005B1112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  <w:r w:rsidRPr="00547CFC">
              <w:rPr>
                <w:rFonts w:eastAsiaTheme="minorHAnsi" w:cstheme="minorHAnsi"/>
                <w:sz w:val="20"/>
                <w:szCs w:val="20"/>
              </w:rPr>
              <w:t>5,4</w:t>
            </w: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Theme="minorHAnsi" w:cstheme="minorHAnsi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2A78294D" w:rsidR="00045203" w:rsidRPr="00BA2386" w:rsidRDefault="0087167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A2386">
              <w:rPr>
                <w:rFonts w:cstheme="minorHAnsi"/>
                <w:sz w:val="21"/>
                <w:szCs w:val="21"/>
              </w:rPr>
              <w:t>14sec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17802780" w:rsidR="00045203" w:rsidRPr="00BA2386" w:rsidRDefault="00871679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A2386">
              <w:rPr>
                <w:rFonts w:cstheme="minorHAnsi"/>
                <w:sz w:val="21"/>
                <w:szCs w:val="21"/>
              </w:rPr>
              <w:t>83%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58D5DE00" w:rsidR="00045203" w:rsidRPr="00BA2386" w:rsidRDefault="002613F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A2386">
              <w:rPr>
                <w:rFonts w:cstheme="minorHAnsi"/>
                <w:sz w:val="21"/>
                <w:szCs w:val="21"/>
              </w:rPr>
              <w:t>9 sec</w:t>
            </w: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1FB29BF0" w:rsidR="00045203" w:rsidRPr="00BA2386" w:rsidRDefault="002613F8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 w:rsidRPr="00BA2386">
              <w:rPr>
                <w:rFonts w:cstheme="minorHAnsi"/>
                <w:sz w:val="21"/>
                <w:szCs w:val="21"/>
              </w:rPr>
              <w:t>83%</w:t>
            </w: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77777777" w:rsidR="00045203" w:rsidRPr="00BA238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4F8EA67E" w:rsidR="00045203" w:rsidRPr="00B375B4" w:rsidRDefault="00BA2386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5%</w:t>
            </w: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77777777" w:rsidR="00547CFC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5C4416F9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541,3853 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3B3231D0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541,3853 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E60856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E60856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9033FB" w14:textId="1DFD2961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3163,347 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1429265D" w:rsidR="00547CFC" w:rsidRPr="00E60856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  <w:highlight w:val="green"/>
              </w:rPr>
            </w:pPr>
            <w:r>
              <w:rPr>
                <w:rFonts w:ascii="Calibri" w:hAnsi="Calibri"/>
                <w:color w:val="000000"/>
              </w:rPr>
              <w:t>2528,39 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7E6D3584" w:rsidR="00EE0452" w:rsidRPr="00F36F2E" w:rsidRDefault="00F36F2E" w:rsidP="00EE0452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position w:val="1"/>
          <w:sz w:val="23"/>
          <w:szCs w:val="23"/>
        </w:rPr>
      </w:pPr>
      <w:r>
        <w:rPr>
          <w:rFonts w:eastAsia="Palatino Linotype" w:cs="Palatino Linotype"/>
          <w:position w:val="1"/>
          <w:sz w:val="23"/>
          <w:szCs w:val="23"/>
        </w:rPr>
        <w:t>Podgorica, 19.04.2017.god</w:t>
      </w:r>
      <w:r w:rsidR="00915BDE" w:rsidRPr="00915BDE">
        <w:rPr>
          <w:rFonts w:eastAsia="Palatino Linotype" w:cs="Palatino Linotype"/>
          <w:sz w:val="23"/>
          <w:szCs w:val="23"/>
        </w:rPr>
        <w:t xml:space="preserve">                          </w:t>
      </w:r>
      <w:bookmarkStart w:id="0" w:name="_GoBack"/>
      <w:bookmarkEnd w:id="0"/>
    </w:p>
    <w:p w14:paraId="7590341F" w14:textId="758D2423" w:rsidR="00457DC1" w:rsidRPr="00F36F2E" w:rsidRDefault="00EE0452" w:rsidP="00F36F2E">
      <w:pPr>
        <w:jc w:val="right"/>
        <w:rPr>
          <w:rFonts w:eastAsia="Palatino Linotype" w:cs="Palatino Linotype"/>
          <w:position w:val="1"/>
          <w:sz w:val="23"/>
          <w:szCs w:val="23"/>
        </w:rPr>
      </w:pPr>
    </w:p>
    <w:p w14:paraId="074B2C8B" w14:textId="77777777" w:rsidR="00F36F2E" w:rsidRPr="00915BDE" w:rsidRDefault="00F36F2E">
      <w:pPr>
        <w:jc w:val="center"/>
        <w:rPr>
          <w:rFonts w:ascii="Calibri" w:hAnsi="Calibri" w:cstheme="minorHAnsi"/>
        </w:rPr>
      </w:pPr>
    </w:p>
    <w:sectPr w:rsidR="00F36F2E" w:rsidRPr="00915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1421B0"/>
    <w:rsid w:val="00186DE4"/>
    <w:rsid w:val="00215104"/>
    <w:rsid w:val="00215BEE"/>
    <w:rsid w:val="002613F8"/>
    <w:rsid w:val="002725C9"/>
    <w:rsid w:val="0028133A"/>
    <w:rsid w:val="00285840"/>
    <w:rsid w:val="00291255"/>
    <w:rsid w:val="00295D80"/>
    <w:rsid w:val="0029645F"/>
    <w:rsid w:val="002D1F27"/>
    <w:rsid w:val="002E620F"/>
    <w:rsid w:val="003120D2"/>
    <w:rsid w:val="00314907"/>
    <w:rsid w:val="003A0A8B"/>
    <w:rsid w:val="003C5CC8"/>
    <w:rsid w:val="003E031A"/>
    <w:rsid w:val="003E5A12"/>
    <w:rsid w:val="00404645"/>
    <w:rsid w:val="0048290D"/>
    <w:rsid w:val="004924B9"/>
    <w:rsid w:val="004B5509"/>
    <w:rsid w:val="004D626F"/>
    <w:rsid w:val="004D6637"/>
    <w:rsid w:val="004F4F42"/>
    <w:rsid w:val="00517650"/>
    <w:rsid w:val="0052341C"/>
    <w:rsid w:val="00547CFC"/>
    <w:rsid w:val="00555844"/>
    <w:rsid w:val="00565082"/>
    <w:rsid w:val="005B1112"/>
    <w:rsid w:val="006539D1"/>
    <w:rsid w:val="00666084"/>
    <w:rsid w:val="006F1A79"/>
    <w:rsid w:val="00700C50"/>
    <w:rsid w:val="00802284"/>
    <w:rsid w:val="00811A2E"/>
    <w:rsid w:val="00845CBF"/>
    <w:rsid w:val="00871679"/>
    <w:rsid w:val="0087563D"/>
    <w:rsid w:val="00895E90"/>
    <w:rsid w:val="008D6A29"/>
    <w:rsid w:val="008E051B"/>
    <w:rsid w:val="00915BDE"/>
    <w:rsid w:val="0092015C"/>
    <w:rsid w:val="00994613"/>
    <w:rsid w:val="00A23617"/>
    <w:rsid w:val="00A72459"/>
    <w:rsid w:val="00A976C9"/>
    <w:rsid w:val="00B215CA"/>
    <w:rsid w:val="00B375B4"/>
    <w:rsid w:val="00B51FE8"/>
    <w:rsid w:val="00B87515"/>
    <w:rsid w:val="00BA2386"/>
    <w:rsid w:val="00BD09EE"/>
    <w:rsid w:val="00C8198D"/>
    <w:rsid w:val="00D07122"/>
    <w:rsid w:val="00D47CCA"/>
    <w:rsid w:val="00DB0FED"/>
    <w:rsid w:val="00E60856"/>
    <w:rsid w:val="00E714F9"/>
    <w:rsid w:val="00EA048C"/>
    <w:rsid w:val="00EE0452"/>
    <w:rsid w:val="00F36F2E"/>
    <w:rsid w:val="00F70D45"/>
    <w:rsid w:val="00F95B5C"/>
    <w:rsid w:val="00FC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3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0" ma:contentTypeDescription="Create a new document." ma:contentTypeScope="" ma:versionID="1385708de094a5dd3c3bd4f1b0d5714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61236-4302-4DBA-B908-D3FA4C1B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41C9662B-2DB5-498D-B8F7-A90973A74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Ratkovic</dc:creator>
  <cp:lastModifiedBy>Jelovac, Romana</cp:lastModifiedBy>
  <cp:revision>2</cp:revision>
  <cp:lastPrinted>2013-12-20T13:15:00Z</cp:lastPrinted>
  <dcterms:created xsi:type="dcterms:W3CDTF">2017-04-21T10:01:00Z</dcterms:created>
  <dcterms:modified xsi:type="dcterms:W3CDTF">2017-04-21T10:01:00Z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