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86" w:rsidRPr="00F13183" w:rsidRDefault="006E4C86" w:rsidP="006E4C86">
      <w:pPr>
        <w:jc w:val="center"/>
        <w:rPr>
          <w:rFonts w:ascii="Tele-GroteskEERegular" w:hAnsi="Tele-GroteskEERegular"/>
          <w:color w:val="000000" w:themeColor="text1"/>
          <w:sz w:val="32"/>
          <w:szCs w:val="32"/>
          <w:lang w:val="hr-HR"/>
        </w:rPr>
      </w:pPr>
      <w:r w:rsidRPr="00F13183">
        <w:rPr>
          <w:rFonts w:ascii="Tele-GroteskEERegular" w:hAnsi="Tele-GroteskEERegular"/>
          <w:color w:val="000000" w:themeColor="text1"/>
          <w:sz w:val="32"/>
          <w:szCs w:val="32"/>
          <w:lang w:val="hr-HR"/>
        </w:rPr>
        <w:t xml:space="preserve">Prilog 1 – Opis usluga </w:t>
      </w:r>
      <w:r w:rsidR="00995209" w:rsidRPr="00F13183">
        <w:rPr>
          <w:rFonts w:ascii="Tele-GroteskEERegular" w:hAnsi="Tele-GroteskEERegular"/>
          <w:color w:val="000000" w:themeColor="text1"/>
          <w:sz w:val="32"/>
          <w:szCs w:val="32"/>
          <w:lang w:val="hr-HR"/>
        </w:rPr>
        <w:t>redovne registracije vozila</w:t>
      </w:r>
    </w:p>
    <w:p w:rsidR="006E4C86" w:rsidRPr="00F13183" w:rsidRDefault="006E4C86" w:rsidP="006E4C86">
      <w:pPr>
        <w:rPr>
          <w:rFonts w:ascii="Tele-GroteskEERegular" w:hAnsi="Tele-GroteskEERegular"/>
          <w:color w:val="000000" w:themeColor="text1"/>
          <w:sz w:val="32"/>
          <w:szCs w:val="32"/>
          <w:lang w:val="hr-HR"/>
        </w:rPr>
      </w:pPr>
    </w:p>
    <w:p w:rsidR="00CA314C" w:rsidRPr="00F13183" w:rsidRDefault="00CA314C" w:rsidP="006E4C86">
      <w:pPr>
        <w:rPr>
          <w:rFonts w:ascii="Tele-GroteskEERegular" w:hAnsi="Tele-GroteskEERegular"/>
          <w:color w:val="000000" w:themeColor="text1"/>
          <w:u w:val="single"/>
          <w:lang w:val="hr-HR"/>
        </w:rPr>
      </w:pPr>
      <w:r w:rsidRPr="00F13183">
        <w:rPr>
          <w:rFonts w:ascii="Tele-GroteskEERegular" w:hAnsi="Tele-GroteskEERegular"/>
          <w:color w:val="000000" w:themeColor="text1"/>
          <w:u w:val="single"/>
          <w:lang w:val="hr-HR"/>
        </w:rPr>
        <w:t>Segment I –   Redovna registracija vozila</w:t>
      </w:r>
    </w:p>
    <w:p w:rsidR="006E4C86" w:rsidRPr="00F13183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6E4C86" w:rsidRPr="00F13183" w:rsidRDefault="008811DF">
      <w:p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Ponudj</w:t>
      </w:r>
      <w:r w:rsidR="00CA314C" w:rsidRPr="00F13183">
        <w:rPr>
          <w:rFonts w:ascii="Tele-GroteskEERegular" w:hAnsi="Tele-GroteskEERegular"/>
          <w:color w:val="000000" w:themeColor="text1"/>
          <w:lang w:val="hr-HR"/>
        </w:rPr>
        <w:t>ač je dužan obe</w:t>
      </w:r>
      <w:r w:rsidR="00C31338" w:rsidRPr="00F13183">
        <w:rPr>
          <w:rFonts w:ascii="Tele-GroteskEERegular" w:hAnsi="Tele-GroteskEERegular"/>
          <w:color w:val="000000" w:themeColor="text1"/>
          <w:lang w:val="hr-HR"/>
        </w:rPr>
        <w:t>zbijediti tehnički pregled u sl</w:t>
      </w:r>
      <w:r w:rsidR="00CA314C" w:rsidRPr="00F13183">
        <w:rPr>
          <w:rFonts w:ascii="Tele-GroteskEERegular" w:hAnsi="Tele-GroteskEERegular"/>
          <w:color w:val="000000" w:themeColor="text1"/>
          <w:lang w:val="hr-HR"/>
        </w:rPr>
        <w:t>ede</w:t>
      </w:r>
      <w:r w:rsidR="00C31338" w:rsidRPr="00F13183">
        <w:rPr>
          <w:rFonts w:ascii="Tele-GroteskEERegular" w:hAnsi="Tele-GroteskEERegular"/>
          <w:color w:val="000000" w:themeColor="text1"/>
          <w:lang w:val="hr-HR"/>
        </w:rPr>
        <w:t>ć</w:t>
      </w:r>
      <w:r w:rsidR="00CA314C" w:rsidRPr="00F13183">
        <w:rPr>
          <w:rFonts w:ascii="Tele-GroteskEERegular" w:hAnsi="Tele-GroteskEERegular"/>
          <w:color w:val="000000" w:themeColor="text1"/>
          <w:lang w:val="hr-HR"/>
        </w:rPr>
        <w:t xml:space="preserve">im gradovima: </w:t>
      </w:r>
    </w:p>
    <w:p w:rsidR="006E4C86" w:rsidRPr="00F13183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6E4C86" w:rsidRPr="00F13183" w:rsidRDefault="006E4C86" w:rsidP="005B6783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Podgorica (</w:t>
      </w:r>
      <w:r w:rsidR="005B6783">
        <w:rPr>
          <w:rFonts w:ascii="Tele-GroteskEERegular" w:hAnsi="Tele-GroteskEERegular"/>
          <w:lang w:val="hr-HR"/>
        </w:rPr>
        <w:t>105</w:t>
      </w:r>
      <w:r w:rsidRPr="00F13183">
        <w:rPr>
          <w:rFonts w:ascii="Tele-GroteskEERegular" w:hAnsi="Tele-GroteskEERegular"/>
          <w:color w:val="000000" w:themeColor="text1"/>
          <w:lang w:val="hr-HR"/>
        </w:rPr>
        <w:t>)</w:t>
      </w:r>
      <w:r w:rsidR="005B6783">
        <w:rPr>
          <w:rFonts w:ascii="Tele-GroteskEERegular" w:hAnsi="Tele-GroteskEERegular"/>
          <w:color w:val="000000" w:themeColor="text1"/>
          <w:lang w:val="hr-HR"/>
        </w:rPr>
        <w:t xml:space="preserve"> (</w:t>
      </w:r>
      <w:r w:rsidR="005B6783" w:rsidRPr="005B6783">
        <w:rPr>
          <w:rFonts w:ascii="Tele-GroteskEERegular" w:hAnsi="Tele-GroteskEERegular"/>
          <w:color w:val="000000" w:themeColor="text1"/>
          <w:lang w:val="hr-HR"/>
        </w:rPr>
        <w:t>2 tehničke stanice</w:t>
      </w:r>
      <w:r w:rsidR="005B6783">
        <w:rPr>
          <w:rFonts w:ascii="Tele-GroteskEERegular" w:hAnsi="Tele-GroteskEERegular"/>
          <w:color w:val="000000" w:themeColor="text1"/>
          <w:lang w:val="hr-HR"/>
        </w:rPr>
        <w:t>)</w:t>
      </w:r>
      <w:bookmarkStart w:id="0" w:name="_GoBack"/>
      <w:bookmarkEnd w:id="0"/>
    </w:p>
    <w:p w:rsidR="006E4C86" w:rsidRPr="00F13183" w:rsidRDefault="006E4C86" w:rsidP="006E4C86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Nikšić (</w:t>
      </w:r>
      <w:r w:rsidR="005B6783">
        <w:rPr>
          <w:rFonts w:ascii="Tele-GroteskEERegular" w:hAnsi="Tele-GroteskEERegular"/>
          <w:color w:val="000000" w:themeColor="text1"/>
          <w:lang w:val="hr-HR"/>
        </w:rPr>
        <w:t>7</w:t>
      </w:r>
      <w:r w:rsidRPr="00F13183">
        <w:rPr>
          <w:rFonts w:ascii="Tele-GroteskEERegular" w:hAnsi="Tele-GroteskEERegular"/>
          <w:color w:val="000000" w:themeColor="text1"/>
          <w:lang w:val="hr-HR"/>
        </w:rPr>
        <w:t>)</w:t>
      </w:r>
    </w:p>
    <w:p w:rsidR="006E4C86" w:rsidRPr="00F13183" w:rsidRDefault="006E4C86" w:rsidP="006E4C86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Bijelo Polje ili Berane (</w:t>
      </w:r>
      <w:r w:rsidR="005B6783">
        <w:rPr>
          <w:rFonts w:ascii="Tele-GroteskEERegular" w:hAnsi="Tele-GroteskEERegular"/>
          <w:lang w:val="hr-HR"/>
        </w:rPr>
        <w:t>10</w:t>
      </w:r>
      <w:r w:rsidRPr="00F13183">
        <w:rPr>
          <w:rFonts w:ascii="Tele-GroteskEERegular" w:hAnsi="Tele-GroteskEERegular"/>
          <w:color w:val="000000" w:themeColor="text1"/>
          <w:lang w:val="hr-HR"/>
        </w:rPr>
        <w:t>)</w:t>
      </w:r>
    </w:p>
    <w:p w:rsidR="007A3E0F" w:rsidRPr="00A45899" w:rsidRDefault="00CA314C" w:rsidP="006E4C86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 w:rsidRPr="00A45899">
        <w:rPr>
          <w:rFonts w:ascii="Tele-GroteskEERegular" w:hAnsi="Tele-GroteskEERegular"/>
          <w:color w:val="000000" w:themeColor="text1"/>
          <w:lang w:val="hr-HR"/>
        </w:rPr>
        <w:t>B</w:t>
      </w:r>
      <w:r w:rsidR="007A3E0F" w:rsidRPr="00A45899">
        <w:rPr>
          <w:rFonts w:ascii="Tele-GroteskEERegular" w:hAnsi="Tele-GroteskEERegular"/>
          <w:color w:val="000000" w:themeColor="text1"/>
          <w:lang w:val="hr-HR"/>
        </w:rPr>
        <w:t>udva (</w:t>
      </w:r>
      <w:r w:rsidR="005B6783">
        <w:rPr>
          <w:rFonts w:ascii="Tele-GroteskEERegular" w:hAnsi="Tele-GroteskEERegular"/>
          <w:lang w:val="hr-HR"/>
        </w:rPr>
        <w:t>8</w:t>
      </w:r>
      <w:r w:rsidR="007A3E0F" w:rsidRPr="00A45899">
        <w:rPr>
          <w:rFonts w:ascii="Tele-GroteskEERegular" w:hAnsi="Tele-GroteskEERegular"/>
          <w:color w:val="000000" w:themeColor="text1"/>
          <w:lang w:val="hr-HR"/>
        </w:rPr>
        <w:t>)</w:t>
      </w:r>
      <w:r w:rsidR="006E4C86" w:rsidRPr="00A45899">
        <w:rPr>
          <w:rFonts w:ascii="Tele-GroteskEERegular" w:hAnsi="Tele-GroteskEERegular"/>
          <w:color w:val="000000" w:themeColor="text1"/>
          <w:lang w:val="hr-HR"/>
        </w:rPr>
        <w:t xml:space="preserve"> </w:t>
      </w:r>
    </w:p>
    <w:p w:rsidR="006E4C86" w:rsidRPr="00F13183" w:rsidRDefault="006E4C86" w:rsidP="006E4C86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Bar </w:t>
      </w:r>
      <w:r w:rsidRPr="00A45899">
        <w:rPr>
          <w:rFonts w:ascii="Tele-GroteskEERegular" w:hAnsi="Tele-GroteskEERegular"/>
          <w:color w:val="000000" w:themeColor="text1"/>
          <w:lang w:val="hr-HR"/>
        </w:rPr>
        <w:t>ili Ulcinj (</w:t>
      </w:r>
      <w:r w:rsidR="005B6783">
        <w:rPr>
          <w:rFonts w:ascii="Tele-GroteskEERegular" w:hAnsi="Tele-GroteskEERegular"/>
          <w:lang w:val="hr-HR"/>
        </w:rPr>
        <w:t>7</w:t>
      </w:r>
      <w:r w:rsidRPr="00A45899">
        <w:rPr>
          <w:rFonts w:ascii="Tele-GroteskEERegular" w:hAnsi="Tele-GroteskEERegular"/>
          <w:color w:val="000000" w:themeColor="text1"/>
          <w:lang w:val="hr-HR"/>
        </w:rPr>
        <w:t>)</w:t>
      </w:r>
    </w:p>
    <w:p w:rsidR="006E4C86" w:rsidRPr="00F13183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CA314C" w:rsidRPr="00F13183" w:rsidRDefault="00CF6222">
      <w:p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U zagradama se nalazi broj vozila koji će obavljati tehnički pregled po gradovima.</w:t>
      </w:r>
    </w:p>
    <w:p w:rsidR="00CF6222" w:rsidRPr="00F13183" w:rsidRDefault="00CF6222">
      <w:pPr>
        <w:rPr>
          <w:rFonts w:ascii="Tele-GroteskEERegular" w:hAnsi="Tele-GroteskEERegular"/>
          <w:color w:val="000000" w:themeColor="text1"/>
          <w:lang w:val="hr-HR"/>
        </w:rPr>
      </w:pPr>
    </w:p>
    <w:p w:rsidR="00CF6222" w:rsidRPr="00F13183" w:rsidRDefault="00CF6222">
      <w:p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b/>
          <w:color w:val="000000" w:themeColor="text1"/>
          <w:u w:val="single"/>
          <w:lang w:val="hr-HR"/>
        </w:rPr>
        <w:t>Napomena:</w:t>
      </w: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 Sva vozila su registrovana na PG tablic</w:t>
      </w:r>
      <w:r w:rsidR="0019496B">
        <w:rPr>
          <w:rFonts w:ascii="Tele-GroteskEERegular" w:hAnsi="Tele-GroteskEERegular"/>
          <w:color w:val="000000" w:themeColor="text1"/>
          <w:lang w:val="hr-HR"/>
        </w:rPr>
        <w:t>ama</w:t>
      </w:r>
    </w:p>
    <w:p w:rsidR="00CF6222" w:rsidRPr="00F13183" w:rsidRDefault="00CF6222">
      <w:pPr>
        <w:rPr>
          <w:rFonts w:ascii="Tele-GroteskEERegular" w:hAnsi="Tele-GroteskEERegular"/>
          <w:color w:val="000000" w:themeColor="text1"/>
          <w:lang w:val="hr-HR"/>
        </w:rPr>
      </w:pPr>
    </w:p>
    <w:p w:rsidR="00CF6222" w:rsidRPr="00F13183" w:rsidRDefault="00CF6222">
      <w:p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Odabrani dobavljač je dužan obezbijediti neophodnu dokumentaciju za obav</w:t>
      </w:r>
      <w:r w:rsidR="008811DF" w:rsidRPr="00F13183">
        <w:rPr>
          <w:rFonts w:ascii="Tele-GroteskEERegular" w:hAnsi="Tele-GroteskEERegular"/>
          <w:color w:val="000000" w:themeColor="text1"/>
          <w:lang w:val="hr-HR"/>
        </w:rPr>
        <w:t>ljanje tehničkog pregleda, obradj</w:t>
      </w: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enu dokumentaciju predati u MUP u Podgorici i iz </w:t>
      </w:r>
      <w:r w:rsidR="008B4C25" w:rsidRPr="00F13183">
        <w:rPr>
          <w:rFonts w:ascii="Tele-GroteskEERegular" w:hAnsi="Tele-GroteskEERegular"/>
          <w:color w:val="000000" w:themeColor="text1"/>
          <w:lang w:val="hr-HR"/>
        </w:rPr>
        <w:t>MUP</w:t>
      </w:r>
      <w:r w:rsidR="0019496B">
        <w:rPr>
          <w:rFonts w:ascii="Tele-GroteskEERegular" w:hAnsi="Tele-GroteskEERegular"/>
          <w:color w:val="000000" w:themeColor="text1"/>
          <w:lang w:val="hr-HR"/>
        </w:rPr>
        <w:t>-a</w:t>
      </w: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 preuzeti saobraćajne dozvole</w:t>
      </w:r>
      <w:r w:rsidR="00665022" w:rsidRPr="00F13183">
        <w:rPr>
          <w:rFonts w:ascii="Tele-GroteskEERegular" w:hAnsi="Tele-GroteskEERegular"/>
          <w:color w:val="000000" w:themeColor="text1"/>
          <w:lang w:val="hr-HR"/>
        </w:rPr>
        <w:t xml:space="preserve"> i registarske oznake vozila društva</w:t>
      </w:r>
      <w:r w:rsidR="006E4C86" w:rsidRPr="00F13183">
        <w:rPr>
          <w:rFonts w:ascii="Tele-GroteskEERegular" w:hAnsi="Tele-GroteskEERegular"/>
          <w:color w:val="000000" w:themeColor="text1"/>
          <w:lang w:val="hr-HR"/>
        </w:rPr>
        <w:t>.</w:t>
      </w:r>
    </w:p>
    <w:p w:rsidR="006E4C86" w:rsidRPr="00F13183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8B4C25" w:rsidRDefault="009912BD">
      <w:p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Kopije novih saobraćajnih dozvola i polisa osiguranja </w:t>
      </w:r>
      <w:r w:rsidR="006E4C86" w:rsidRPr="00F13183">
        <w:rPr>
          <w:rFonts w:ascii="Tele-GroteskEERegular" w:hAnsi="Tele-GroteskEERegular"/>
          <w:color w:val="000000" w:themeColor="text1"/>
          <w:lang w:val="hr-HR"/>
        </w:rPr>
        <w:t xml:space="preserve">potrebno je </w:t>
      </w:r>
      <w:r w:rsidRPr="00F13183">
        <w:rPr>
          <w:rFonts w:ascii="Tele-GroteskEERegular" w:hAnsi="Tele-GroteskEERegular"/>
          <w:color w:val="000000" w:themeColor="text1"/>
          <w:lang w:val="hr-HR"/>
        </w:rPr>
        <w:t>dostaviti na kraju mjeseca zajedno sa fakturom.</w:t>
      </w:r>
    </w:p>
    <w:p w:rsidR="004C6C63" w:rsidRDefault="004C6C63">
      <w:pPr>
        <w:rPr>
          <w:rFonts w:ascii="Tele-GroteskEERegular" w:hAnsi="Tele-GroteskEERegular"/>
          <w:color w:val="000000" w:themeColor="text1"/>
          <w:lang w:val="hr-HR"/>
        </w:rPr>
      </w:pPr>
    </w:p>
    <w:p w:rsidR="004C6C63" w:rsidRDefault="004C6C63" w:rsidP="004C6C63">
      <w:pPr>
        <w:jc w:val="both"/>
        <w:rPr>
          <w:rFonts w:ascii="Tele-GroteskEERegular" w:hAnsi="Tele-GroteskEERegular"/>
          <w:color w:val="000000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Ponudjač je dužan obezbijediti </w:t>
      </w:r>
      <w:r>
        <w:rPr>
          <w:rFonts w:ascii="Tele-GroteskEERegular" w:hAnsi="Tele-GroteskEERegular"/>
          <w:color w:val="000000" w:themeColor="text1"/>
          <w:lang w:val="hr-HR"/>
        </w:rPr>
        <w:t xml:space="preserve">i </w:t>
      </w:r>
      <w:r>
        <w:rPr>
          <w:rFonts w:ascii="Tele-GroteskEERegular" w:hAnsi="Tele-GroteskEERegular"/>
          <w:color w:val="000000"/>
          <w:lang w:val="hr-HR"/>
        </w:rPr>
        <w:t>šlep vozilo u roku od pola sata od trenutka poziva na lokacij</w:t>
      </w:r>
      <w:r w:rsidR="00DC033F">
        <w:rPr>
          <w:rFonts w:ascii="Tele-GroteskEERegular" w:hAnsi="Tele-GroteskEERegular"/>
          <w:color w:val="000000"/>
          <w:lang w:val="hr-HR"/>
        </w:rPr>
        <w:t>u</w:t>
      </w:r>
      <w:r>
        <w:rPr>
          <w:rFonts w:ascii="Tele-GroteskEERegular" w:hAnsi="Tele-GroteskEERegular"/>
          <w:color w:val="000000"/>
          <w:lang w:val="hr-HR"/>
        </w:rPr>
        <w:t xml:space="preserve"> u Crnoj Gori gdje se nalazi vozilo.</w:t>
      </w:r>
    </w:p>
    <w:p w:rsidR="004C6C63" w:rsidRPr="00F13183" w:rsidRDefault="004C6C63">
      <w:pPr>
        <w:rPr>
          <w:rFonts w:ascii="Tele-GroteskEERegular" w:hAnsi="Tele-GroteskEERegular"/>
          <w:color w:val="000000" w:themeColor="text1"/>
          <w:lang w:val="hr-HR"/>
        </w:rPr>
      </w:pPr>
    </w:p>
    <w:p w:rsidR="008B4C25" w:rsidRPr="00F13183" w:rsidRDefault="008B4C25">
      <w:pPr>
        <w:rPr>
          <w:rFonts w:ascii="Tele-GroteskEERegular" w:hAnsi="Tele-GroteskEERegular"/>
          <w:lang w:val="hr-HR"/>
        </w:rPr>
      </w:pPr>
    </w:p>
    <w:sectPr w:rsidR="008B4C25" w:rsidRPr="00F131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DA" w:rsidRDefault="00B419DA" w:rsidP="006E4C86">
      <w:r>
        <w:separator/>
      </w:r>
    </w:p>
  </w:endnote>
  <w:endnote w:type="continuationSeparator" w:id="0">
    <w:p w:rsidR="00B419DA" w:rsidRDefault="00B419DA" w:rsidP="006E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-GroteskEERegular">
    <w:altName w:val="Times New Roman"/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-GroteskEENor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547709"/>
      <w:docPartObj>
        <w:docPartGallery w:val="Page Numbers (Bottom of Page)"/>
        <w:docPartUnique/>
      </w:docPartObj>
    </w:sdtPr>
    <w:sdtEndPr>
      <w:rPr>
        <w:rFonts w:ascii="Tele-GroteskEENor" w:hAnsi="Tele-GroteskEENor"/>
        <w:noProof/>
        <w:sz w:val="16"/>
        <w:szCs w:val="16"/>
      </w:rPr>
    </w:sdtEndPr>
    <w:sdtContent>
      <w:p w:rsidR="006E4C86" w:rsidRPr="006E4C86" w:rsidRDefault="006E4C86">
        <w:pPr>
          <w:pStyle w:val="Footer"/>
          <w:jc w:val="right"/>
          <w:rPr>
            <w:rFonts w:ascii="Tele-GroteskEENor" w:hAnsi="Tele-GroteskEENor"/>
            <w:sz w:val="16"/>
            <w:szCs w:val="16"/>
          </w:rPr>
        </w:pPr>
        <w:r w:rsidRPr="006E4C86">
          <w:rPr>
            <w:rFonts w:ascii="Tele-GroteskEENor" w:hAnsi="Tele-GroteskEENor"/>
            <w:sz w:val="16"/>
            <w:szCs w:val="16"/>
          </w:rPr>
          <w:fldChar w:fldCharType="begin"/>
        </w:r>
        <w:r w:rsidRPr="006E4C86">
          <w:rPr>
            <w:rFonts w:ascii="Tele-GroteskEENor" w:hAnsi="Tele-GroteskEENor"/>
            <w:sz w:val="16"/>
            <w:szCs w:val="16"/>
          </w:rPr>
          <w:instrText xml:space="preserve"> PAGE   \* MERGEFORMAT </w:instrText>
        </w:r>
        <w:r w:rsidRPr="006E4C86">
          <w:rPr>
            <w:rFonts w:ascii="Tele-GroteskEENor" w:hAnsi="Tele-GroteskEENor"/>
            <w:sz w:val="16"/>
            <w:szCs w:val="16"/>
          </w:rPr>
          <w:fldChar w:fldCharType="separate"/>
        </w:r>
        <w:r w:rsidR="005B6783">
          <w:rPr>
            <w:rFonts w:ascii="Tele-GroteskEENor" w:hAnsi="Tele-GroteskEENor"/>
            <w:noProof/>
            <w:sz w:val="16"/>
            <w:szCs w:val="16"/>
          </w:rPr>
          <w:t>1</w:t>
        </w:r>
        <w:r w:rsidRPr="006E4C86">
          <w:rPr>
            <w:rFonts w:ascii="Tele-GroteskEENor" w:hAnsi="Tele-GroteskEENor"/>
            <w:noProof/>
            <w:sz w:val="16"/>
            <w:szCs w:val="16"/>
          </w:rPr>
          <w:fldChar w:fldCharType="end"/>
        </w:r>
      </w:p>
    </w:sdtContent>
  </w:sdt>
  <w:p w:rsidR="006E4C86" w:rsidRDefault="006E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DA" w:rsidRDefault="00B419DA" w:rsidP="006E4C86">
      <w:r>
        <w:separator/>
      </w:r>
    </w:p>
  </w:footnote>
  <w:footnote w:type="continuationSeparator" w:id="0">
    <w:p w:rsidR="00B419DA" w:rsidRDefault="00B419DA" w:rsidP="006E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953"/>
    <w:multiLevelType w:val="hybridMultilevel"/>
    <w:tmpl w:val="F29A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3E54"/>
    <w:multiLevelType w:val="hybridMultilevel"/>
    <w:tmpl w:val="D132E12E"/>
    <w:lvl w:ilvl="0" w:tplc="9440E4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4C"/>
    <w:rsid w:val="0019496B"/>
    <w:rsid w:val="001E0FD6"/>
    <w:rsid w:val="00240EF3"/>
    <w:rsid w:val="00256459"/>
    <w:rsid w:val="002B1470"/>
    <w:rsid w:val="002B78CF"/>
    <w:rsid w:val="00333EB3"/>
    <w:rsid w:val="004B2F5E"/>
    <w:rsid w:val="004C6C63"/>
    <w:rsid w:val="004D7C2F"/>
    <w:rsid w:val="00523B2E"/>
    <w:rsid w:val="005B6783"/>
    <w:rsid w:val="00607FC1"/>
    <w:rsid w:val="00665022"/>
    <w:rsid w:val="006848D8"/>
    <w:rsid w:val="006E4C86"/>
    <w:rsid w:val="00740FF5"/>
    <w:rsid w:val="007A3E0F"/>
    <w:rsid w:val="00807525"/>
    <w:rsid w:val="00847401"/>
    <w:rsid w:val="00851DAC"/>
    <w:rsid w:val="008811DF"/>
    <w:rsid w:val="0089353A"/>
    <w:rsid w:val="008B4C25"/>
    <w:rsid w:val="009912BD"/>
    <w:rsid w:val="00995209"/>
    <w:rsid w:val="009D65EB"/>
    <w:rsid w:val="00A00B21"/>
    <w:rsid w:val="00A27F39"/>
    <w:rsid w:val="00A45899"/>
    <w:rsid w:val="00B06E8E"/>
    <w:rsid w:val="00B419DA"/>
    <w:rsid w:val="00B64B75"/>
    <w:rsid w:val="00B7630E"/>
    <w:rsid w:val="00B94BEB"/>
    <w:rsid w:val="00BB16AB"/>
    <w:rsid w:val="00C31338"/>
    <w:rsid w:val="00C51857"/>
    <w:rsid w:val="00C601DC"/>
    <w:rsid w:val="00CA314C"/>
    <w:rsid w:val="00CB4252"/>
    <w:rsid w:val="00CF6222"/>
    <w:rsid w:val="00D41AC4"/>
    <w:rsid w:val="00DC033F"/>
    <w:rsid w:val="00E74C6B"/>
    <w:rsid w:val="00F01582"/>
    <w:rsid w:val="00F1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AB058"/>
  <w15:docId w15:val="{667E53B6-E31A-41CF-A674-C5B8E28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C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4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C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E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3BE6-D956-41BD-AEB1-1594303C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Janjic, Mijat</dc:creator>
  <cp:lastModifiedBy>Kocan, Ernad</cp:lastModifiedBy>
  <cp:revision>7</cp:revision>
  <cp:lastPrinted>2015-10-21T08:59:00Z</cp:lastPrinted>
  <dcterms:created xsi:type="dcterms:W3CDTF">2016-10-28T10:36:00Z</dcterms:created>
  <dcterms:modified xsi:type="dcterms:W3CDTF">2019-12-12T14:56:00Z</dcterms:modified>
</cp:coreProperties>
</file>