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D6" w:rsidRPr="008311D6" w:rsidRDefault="008311D6" w:rsidP="008311D6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5E5E5E"/>
          <w:sz w:val="18"/>
          <w:szCs w:val="18"/>
        </w:rPr>
      </w:pPr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RU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usluga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(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eng.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Indefeasible Rights of Use),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ovom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kontekstu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podrazumijeva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neopozivo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pravo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korišćenja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optičkih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vlakana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Crnogorski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Telekom (u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daljem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tekstu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Telekom)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Korisniku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predaje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ekskluzivnu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upotrebu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duž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ugovorenih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dionica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toku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trajanja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ugovornog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perioda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>.</w:t>
      </w:r>
    </w:p>
    <w:p w:rsidR="008311D6" w:rsidRPr="008311D6" w:rsidRDefault="008311D6" w:rsidP="008311D6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5E5E5E"/>
          <w:sz w:val="18"/>
          <w:szCs w:val="18"/>
        </w:rPr>
      </w:pP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Korisnik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IRU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usluge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vezi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optičkim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vlaknima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Telekoma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je operator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ovlašćen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pružanje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usluga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elektronskih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komunikacija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,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osnovu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rješenja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o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upisu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registar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operatora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izdatog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od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strane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Agencije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elektronske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komunikacije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poštansku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djelatnost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. Telekom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će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zainteresovanim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operatorima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ponuditi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korišćenje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IRU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usluge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zahtjevanim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dionicama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slučaju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postojanja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tehničkih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mogućnosti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skladu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svojim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poslovnim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planovima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interesima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>.</w:t>
      </w:r>
    </w:p>
    <w:p w:rsidR="008311D6" w:rsidRPr="008311D6" w:rsidRDefault="008311D6" w:rsidP="008311D6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5E5E5E"/>
          <w:sz w:val="18"/>
          <w:szCs w:val="18"/>
        </w:rPr>
      </w:pP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Optička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vlakna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predmet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IRU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usluge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pravilu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završavaju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optičkim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distributivnim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razdjelnicima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(ODF)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gdje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se,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potrebi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,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može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uspostaviti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interkonekcija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kolociranom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opremom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Korisnika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ili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telekomunikacionom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opremom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unutar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transportne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mreže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Korisnika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.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Takođe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,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optička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vlakna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predmet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IRU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usluge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mogu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završavati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tačkama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interkonekcije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Telekoma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drugim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operatorima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zemlji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inostranstvu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.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Optička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vlakna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završavaju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lokacijama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unutar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pristupne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mreže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Telekoma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,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tj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.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lokacijama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krajnjih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korisnika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Crnoj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Gori,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nijesu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predmet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ponude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okviru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IRU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usluge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>.</w:t>
      </w:r>
    </w:p>
    <w:p w:rsidR="008311D6" w:rsidRPr="008311D6" w:rsidRDefault="008311D6" w:rsidP="008311D6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5E5E5E"/>
          <w:sz w:val="18"/>
          <w:szCs w:val="18"/>
        </w:rPr>
      </w:pP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Ugovorni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periodi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IRU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uslugu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mogu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biti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5, 10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ili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15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godina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>.</w:t>
      </w:r>
    </w:p>
    <w:p w:rsidR="008311D6" w:rsidRPr="008311D6" w:rsidRDefault="008311D6" w:rsidP="008311D6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5E5E5E"/>
          <w:sz w:val="18"/>
          <w:szCs w:val="18"/>
        </w:rPr>
      </w:pP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IRU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uslugu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Korisnik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se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obavezuje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da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plati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Telekomu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IRU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naknadu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cijeli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ugovorni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period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unaprijed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. IRU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naknada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(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Tabela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1) je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izražena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u EUR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dužnom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metru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jednog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para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optičkih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vlakana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cjelokupni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ugovorni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period.</w:t>
      </w:r>
    </w:p>
    <w:tbl>
      <w:tblPr>
        <w:tblW w:w="10459" w:type="dxa"/>
        <w:tblBorders>
          <w:top w:val="single" w:sz="6" w:space="0" w:color="DDDDDD"/>
          <w:left w:val="single" w:sz="6" w:space="0" w:color="DDDDDD"/>
          <w:bottom w:val="single" w:sz="18" w:space="0" w:color="E20074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4"/>
        <w:gridCol w:w="7745"/>
      </w:tblGrid>
      <w:tr w:rsidR="008311D6" w:rsidRPr="008311D6" w:rsidTr="008311D6">
        <w:tc>
          <w:tcPr>
            <w:tcW w:w="0" w:type="auto"/>
            <w:tcBorders>
              <w:bottom w:val="single" w:sz="12" w:space="0" w:color="E20074"/>
            </w:tcBorders>
            <w:shd w:val="clear" w:color="auto" w:fill="EFEFEF"/>
            <w:tcMar>
              <w:top w:w="120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198" w:lineRule="atLeast"/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</w:pPr>
            <w:proofErr w:type="spellStart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>Ugovorni</w:t>
            </w:r>
            <w:proofErr w:type="spellEnd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 xml:space="preserve"> period</w:t>
            </w:r>
          </w:p>
        </w:tc>
        <w:tc>
          <w:tcPr>
            <w:tcW w:w="0" w:type="auto"/>
            <w:tcBorders>
              <w:bottom w:val="single" w:sz="12" w:space="0" w:color="E20074"/>
            </w:tcBorders>
            <w:shd w:val="clear" w:color="auto" w:fill="EFEFEF"/>
            <w:tcMar>
              <w:top w:w="120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198" w:lineRule="atLeast"/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</w:pPr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 xml:space="preserve">IRU </w:t>
            </w:r>
            <w:proofErr w:type="spellStart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>naknada</w:t>
            </w:r>
            <w:proofErr w:type="spellEnd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 xml:space="preserve"> </w:t>
            </w:r>
            <w:proofErr w:type="spellStart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>za</w:t>
            </w:r>
            <w:proofErr w:type="spellEnd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 xml:space="preserve"> </w:t>
            </w:r>
            <w:proofErr w:type="spellStart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>cjelokupni</w:t>
            </w:r>
            <w:proofErr w:type="spellEnd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 xml:space="preserve"> </w:t>
            </w:r>
            <w:proofErr w:type="spellStart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>ugovorni</w:t>
            </w:r>
            <w:proofErr w:type="spellEnd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 xml:space="preserve"> period (EUR/m)</w:t>
            </w:r>
          </w:p>
        </w:tc>
      </w:tr>
      <w:tr w:rsidR="008311D6" w:rsidRPr="008311D6" w:rsidTr="008311D6">
        <w:tc>
          <w:tcPr>
            <w:tcW w:w="0" w:type="auto"/>
            <w:tcBorders>
              <w:bottom w:val="single" w:sz="6" w:space="0" w:color="E5E5E5"/>
            </w:tcBorders>
            <w:shd w:val="clear" w:color="auto" w:fill="auto"/>
            <w:tcMar>
              <w:top w:w="120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234" w:lineRule="atLeast"/>
              <w:jc w:val="center"/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</w:pPr>
            <w:r w:rsidRPr="008311D6"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  <w:t xml:space="preserve">5 </w:t>
            </w:r>
            <w:proofErr w:type="spellStart"/>
            <w:r w:rsidRPr="008311D6"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auto"/>
            <w:tcMar>
              <w:top w:w="120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234" w:lineRule="atLeast"/>
              <w:jc w:val="center"/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</w:pPr>
            <w:r w:rsidRPr="008311D6"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  <w:t>4,30</w:t>
            </w:r>
          </w:p>
        </w:tc>
      </w:tr>
      <w:tr w:rsidR="008311D6" w:rsidRPr="008311D6" w:rsidTr="008311D6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234" w:lineRule="atLeast"/>
              <w:jc w:val="center"/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</w:pPr>
            <w:r w:rsidRPr="008311D6"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  <w:t xml:space="preserve">10 </w:t>
            </w:r>
            <w:proofErr w:type="spellStart"/>
            <w:r w:rsidRPr="008311D6"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234" w:lineRule="atLeast"/>
              <w:jc w:val="center"/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</w:pPr>
            <w:r w:rsidRPr="008311D6"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  <w:t>5,90</w:t>
            </w:r>
          </w:p>
        </w:tc>
      </w:tr>
      <w:tr w:rsidR="008311D6" w:rsidRPr="008311D6" w:rsidTr="008311D6">
        <w:tc>
          <w:tcPr>
            <w:tcW w:w="0" w:type="auto"/>
            <w:tcBorders>
              <w:bottom w:val="single" w:sz="6" w:space="0" w:color="E5E5E5"/>
            </w:tcBorders>
            <w:shd w:val="clear" w:color="auto" w:fill="auto"/>
            <w:tcMar>
              <w:top w:w="120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234" w:lineRule="atLeast"/>
              <w:jc w:val="center"/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</w:pPr>
            <w:r w:rsidRPr="008311D6"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  <w:t xml:space="preserve">15 </w:t>
            </w:r>
            <w:proofErr w:type="spellStart"/>
            <w:r w:rsidRPr="008311D6"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auto"/>
            <w:tcMar>
              <w:top w:w="120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234" w:lineRule="atLeast"/>
              <w:jc w:val="center"/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</w:pPr>
            <w:r w:rsidRPr="008311D6"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  <w:t>6,45</w:t>
            </w:r>
          </w:p>
        </w:tc>
      </w:tr>
    </w:tbl>
    <w:p w:rsidR="008311D6" w:rsidRPr="008311D6" w:rsidRDefault="008311D6" w:rsidP="008311D6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5E5E5E"/>
          <w:sz w:val="18"/>
          <w:szCs w:val="18"/>
        </w:rPr>
      </w:pPr>
    </w:p>
    <w:p w:rsidR="008311D6" w:rsidRPr="008311D6" w:rsidRDefault="008311D6" w:rsidP="008311D6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5E5E5E"/>
          <w:sz w:val="18"/>
          <w:szCs w:val="18"/>
        </w:rPr>
      </w:pP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Iznos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IRU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naknade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naveden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Tabeli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1 ne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sadrži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PDV.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Isti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će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biti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obračunat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od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strane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Telekoma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skladu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važećim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propisima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>.</w:t>
      </w:r>
    </w:p>
    <w:p w:rsidR="008311D6" w:rsidRPr="008311D6" w:rsidRDefault="008311D6" w:rsidP="008311D6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5E5E5E"/>
          <w:sz w:val="18"/>
          <w:szCs w:val="18"/>
        </w:rPr>
      </w:pPr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Telekom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Korisniku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odobrava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sljedeći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dodatni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popust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obim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naručene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IRU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usluge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(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Tabela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2):</w:t>
      </w:r>
    </w:p>
    <w:tbl>
      <w:tblPr>
        <w:tblW w:w="10459" w:type="dxa"/>
        <w:tblBorders>
          <w:top w:val="single" w:sz="6" w:space="0" w:color="DDDDDD"/>
          <w:left w:val="single" w:sz="6" w:space="0" w:color="DDDDDD"/>
          <w:bottom w:val="single" w:sz="18" w:space="0" w:color="E20074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3"/>
        <w:gridCol w:w="4326"/>
      </w:tblGrid>
      <w:tr w:rsidR="008311D6" w:rsidRPr="008311D6" w:rsidTr="008311D6">
        <w:tc>
          <w:tcPr>
            <w:tcW w:w="0" w:type="auto"/>
            <w:tcBorders>
              <w:bottom w:val="single" w:sz="12" w:space="0" w:color="E20074"/>
            </w:tcBorders>
            <w:shd w:val="clear" w:color="auto" w:fill="EFEFEF"/>
            <w:tcMar>
              <w:top w:w="120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198" w:lineRule="atLeast"/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</w:pPr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 xml:space="preserve">D - </w:t>
            </w:r>
            <w:proofErr w:type="spellStart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>Dužina</w:t>
            </w:r>
            <w:proofErr w:type="spellEnd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 xml:space="preserve"> </w:t>
            </w:r>
            <w:proofErr w:type="spellStart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>ugovorenih</w:t>
            </w:r>
            <w:proofErr w:type="spellEnd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 xml:space="preserve"> </w:t>
            </w:r>
            <w:proofErr w:type="spellStart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>dionica</w:t>
            </w:r>
            <w:proofErr w:type="spellEnd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 xml:space="preserve"> (km)</w:t>
            </w:r>
          </w:p>
        </w:tc>
        <w:tc>
          <w:tcPr>
            <w:tcW w:w="0" w:type="auto"/>
            <w:tcBorders>
              <w:bottom w:val="single" w:sz="12" w:space="0" w:color="E20074"/>
            </w:tcBorders>
            <w:shd w:val="clear" w:color="auto" w:fill="EFEFEF"/>
            <w:tcMar>
              <w:top w:w="120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198" w:lineRule="atLeast"/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</w:pPr>
            <w:proofErr w:type="spellStart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>Popust</w:t>
            </w:r>
            <w:proofErr w:type="spellEnd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 xml:space="preserve"> </w:t>
            </w:r>
            <w:proofErr w:type="spellStart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>na</w:t>
            </w:r>
            <w:proofErr w:type="spellEnd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 xml:space="preserve"> IRU </w:t>
            </w:r>
            <w:proofErr w:type="spellStart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>naknadu</w:t>
            </w:r>
            <w:proofErr w:type="spellEnd"/>
          </w:p>
        </w:tc>
      </w:tr>
      <w:tr w:rsidR="008311D6" w:rsidRPr="008311D6" w:rsidTr="008311D6">
        <w:tc>
          <w:tcPr>
            <w:tcW w:w="0" w:type="auto"/>
            <w:tcBorders>
              <w:bottom w:val="single" w:sz="6" w:space="0" w:color="E5E5E5"/>
            </w:tcBorders>
            <w:shd w:val="clear" w:color="auto" w:fill="auto"/>
            <w:tcMar>
              <w:top w:w="120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234" w:lineRule="atLeast"/>
              <w:jc w:val="center"/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</w:pPr>
            <w:r w:rsidRPr="008311D6"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  <w:t>10 km ≤ D ≤ 100 km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auto"/>
            <w:tcMar>
              <w:top w:w="120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234" w:lineRule="atLeast"/>
              <w:jc w:val="center"/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</w:pPr>
            <w:r w:rsidRPr="008311D6"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  <w:t>25%</w:t>
            </w:r>
          </w:p>
        </w:tc>
      </w:tr>
      <w:tr w:rsidR="008311D6" w:rsidRPr="008311D6" w:rsidTr="008311D6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234" w:lineRule="atLeast"/>
              <w:jc w:val="center"/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</w:pPr>
            <w:r w:rsidRPr="008311D6"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  <w:t>100 km ≤ D ≤ 200 km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234" w:lineRule="atLeast"/>
              <w:jc w:val="center"/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</w:pPr>
            <w:r w:rsidRPr="008311D6"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  <w:t>40%</w:t>
            </w:r>
          </w:p>
        </w:tc>
      </w:tr>
      <w:tr w:rsidR="008311D6" w:rsidRPr="008311D6" w:rsidTr="008311D6">
        <w:tc>
          <w:tcPr>
            <w:tcW w:w="0" w:type="auto"/>
            <w:tcBorders>
              <w:bottom w:val="single" w:sz="6" w:space="0" w:color="E5E5E5"/>
            </w:tcBorders>
            <w:shd w:val="clear" w:color="auto" w:fill="auto"/>
            <w:tcMar>
              <w:top w:w="120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234" w:lineRule="atLeast"/>
              <w:jc w:val="center"/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</w:pPr>
            <w:r w:rsidRPr="008311D6"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  <w:t>200 km ≤ D ≤ 300 km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auto"/>
            <w:tcMar>
              <w:top w:w="120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234" w:lineRule="atLeast"/>
              <w:jc w:val="center"/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</w:pPr>
            <w:r w:rsidRPr="008311D6"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  <w:t>50%</w:t>
            </w:r>
          </w:p>
        </w:tc>
      </w:tr>
      <w:tr w:rsidR="008311D6" w:rsidRPr="008311D6" w:rsidTr="008311D6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234" w:lineRule="atLeast"/>
              <w:jc w:val="center"/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</w:pPr>
            <w:r w:rsidRPr="008311D6"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  <w:t>300 km ≤ D ≤ 400 km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234" w:lineRule="atLeast"/>
              <w:jc w:val="center"/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</w:pPr>
            <w:r w:rsidRPr="008311D6"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  <w:t>60%</w:t>
            </w:r>
          </w:p>
        </w:tc>
      </w:tr>
      <w:tr w:rsidR="008311D6" w:rsidRPr="008311D6" w:rsidTr="008311D6">
        <w:tc>
          <w:tcPr>
            <w:tcW w:w="0" w:type="auto"/>
            <w:tcBorders>
              <w:bottom w:val="single" w:sz="6" w:space="0" w:color="E5E5E5"/>
            </w:tcBorders>
            <w:shd w:val="clear" w:color="auto" w:fill="auto"/>
            <w:tcMar>
              <w:top w:w="120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234" w:lineRule="atLeast"/>
              <w:jc w:val="center"/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</w:pPr>
            <w:r w:rsidRPr="008311D6"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  <w:lastRenderedPageBreak/>
              <w:t>400 km ≤ D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auto"/>
            <w:tcMar>
              <w:top w:w="120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234" w:lineRule="atLeast"/>
              <w:jc w:val="center"/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</w:pPr>
            <w:r w:rsidRPr="008311D6"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  <w:t>65%</w:t>
            </w:r>
          </w:p>
        </w:tc>
      </w:tr>
    </w:tbl>
    <w:p w:rsidR="008311D6" w:rsidRPr="008311D6" w:rsidRDefault="008311D6" w:rsidP="008311D6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5E5E5E"/>
          <w:sz w:val="18"/>
          <w:szCs w:val="18"/>
        </w:rPr>
      </w:pPr>
    </w:p>
    <w:p w:rsidR="008311D6" w:rsidRPr="008311D6" w:rsidRDefault="008311D6" w:rsidP="008311D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5E5E5E"/>
          <w:sz w:val="18"/>
          <w:szCs w:val="18"/>
        </w:rPr>
      </w:pP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Popusti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se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primjenjuju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sve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ugovorne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periode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.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Korisniku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se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prilikom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određivanja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kategorije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popusta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uzima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obzir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dužina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dionice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koju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podnosi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zahtjev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,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kao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ukupna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dužina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ugovorenih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dionica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Telekomom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trenutku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podnošenja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zahtjeva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.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Korisnik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,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eventualnim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prelaskom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kategoriju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većeg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popusta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, ne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stiče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pravo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obračun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dodatnog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popusta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već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ugovorene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dionice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.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Primjer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obračuna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popusta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možete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pogledati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> 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fldChar w:fldCharType="begin"/>
      </w:r>
      <w:r w:rsidRPr="008311D6">
        <w:rPr>
          <w:rFonts w:ascii="Arial" w:eastAsia="Times New Roman" w:hAnsi="Arial" w:cs="Arial"/>
          <w:color w:val="5E5E5E"/>
          <w:sz w:val="18"/>
          <w:szCs w:val="18"/>
        </w:rPr>
        <w:instrText xml:space="preserve"> HYPERLINK "https://telekom.me/content/pdf/Primjer%20obracuna%20popusta.pdf" </w:instrText>
      </w:r>
      <w:r w:rsidRPr="008311D6">
        <w:rPr>
          <w:rFonts w:ascii="Arial" w:eastAsia="Times New Roman" w:hAnsi="Arial" w:cs="Arial"/>
          <w:color w:val="5E5E5E"/>
          <w:sz w:val="18"/>
          <w:szCs w:val="18"/>
        </w:rPr>
        <w:fldChar w:fldCharType="separate"/>
      </w:r>
      <w:r w:rsidRPr="008311D6">
        <w:rPr>
          <w:rFonts w:ascii="Arial" w:eastAsia="Times New Roman" w:hAnsi="Arial" w:cs="Arial"/>
          <w:color w:val="E20074"/>
          <w:sz w:val="18"/>
          <w:szCs w:val="18"/>
          <w:u w:val="single"/>
        </w:rPr>
        <w:t>ovdje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fldChar w:fldCharType="end"/>
      </w:r>
      <w:r w:rsidRPr="008311D6">
        <w:rPr>
          <w:rFonts w:ascii="Arial" w:eastAsia="Times New Roman" w:hAnsi="Arial" w:cs="Arial"/>
          <w:color w:val="5E5E5E"/>
          <w:sz w:val="18"/>
          <w:szCs w:val="18"/>
        </w:rPr>
        <w:t>.</w:t>
      </w:r>
    </w:p>
    <w:p w:rsidR="008311D6" w:rsidRPr="008311D6" w:rsidRDefault="008311D6" w:rsidP="008311D6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5E5E5E"/>
          <w:sz w:val="18"/>
          <w:szCs w:val="18"/>
        </w:rPr>
      </w:pPr>
      <w:proofErr w:type="spellStart"/>
      <w:r w:rsidRPr="008311D6">
        <w:rPr>
          <w:rFonts w:ascii="Arial" w:eastAsia="Times New Roman" w:hAnsi="Arial" w:cs="Arial"/>
          <w:b/>
          <w:bCs/>
          <w:i/>
          <w:iCs/>
          <w:color w:val="5E5E5E"/>
          <w:sz w:val="18"/>
          <w:szCs w:val="18"/>
        </w:rPr>
        <w:t>Usluga</w:t>
      </w:r>
      <w:proofErr w:type="spellEnd"/>
      <w:r w:rsidRPr="008311D6">
        <w:rPr>
          <w:rFonts w:ascii="Arial" w:eastAsia="Times New Roman" w:hAnsi="Arial" w:cs="Arial"/>
          <w:b/>
          <w:bCs/>
          <w:i/>
          <w:iCs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b/>
          <w:bCs/>
          <w:i/>
          <w:iCs/>
          <w:color w:val="5E5E5E"/>
          <w:sz w:val="18"/>
          <w:szCs w:val="18"/>
        </w:rPr>
        <w:t>održavanja</w:t>
      </w:r>
      <w:proofErr w:type="spellEnd"/>
      <w:r w:rsidRPr="008311D6">
        <w:rPr>
          <w:rFonts w:ascii="Arial" w:eastAsia="Times New Roman" w:hAnsi="Arial" w:cs="Arial"/>
          <w:b/>
          <w:bCs/>
          <w:i/>
          <w:iCs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b/>
          <w:bCs/>
          <w:i/>
          <w:iCs/>
          <w:color w:val="5E5E5E"/>
          <w:sz w:val="18"/>
          <w:szCs w:val="18"/>
        </w:rPr>
        <w:t>optičkih</w:t>
      </w:r>
      <w:proofErr w:type="spellEnd"/>
      <w:r w:rsidRPr="008311D6">
        <w:rPr>
          <w:rFonts w:ascii="Arial" w:eastAsia="Times New Roman" w:hAnsi="Arial" w:cs="Arial"/>
          <w:b/>
          <w:bCs/>
          <w:i/>
          <w:iCs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b/>
          <w:bCs/>
          <w:i/>
          <w:iCs/>
          <w:color w:val="5E5E5E"/>
          <w:sz w:val="18"/>
          <w:szCs w:val="18"/>
        </w:rPr>
        <w:t>vlakana</w:t>
      </w:r>
      <w:proofErr w:type="spellEnd"/>
    </w:p>
    <w:p w:rsidR="008311D6" w:rsidRPr="008311D6" w:rsidRDefault="008311D6" w:rsidP="008311D6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5E5E5E"/>
          <w:sz w:val="18"/>
          <w:szCs w:val="18"/>
        </w:rPr>
      </w:pP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Uz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IRU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uslugu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, Telekom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Korisniku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pruža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Uslugu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održavanja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optičkih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vlakana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predmet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IRU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usluge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,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tj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. Telekom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Korisniku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garantuje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nesmetano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funkcionisanje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usluge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skladu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ugovorenim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parametrima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kvaliteta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koji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se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baziraju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odgovarajućim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G.652 ITU-T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preporukama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, a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zavisnosti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od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tipa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instaliranih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optičkih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vlakana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ugovorenoj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dionici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.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zavisnosti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od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potreba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Korisnika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, od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vrste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opreme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koju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namjerava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da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poveže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optička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vlakna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, od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konkretnih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dionica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njihovih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dužina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sl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, Telekom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Korisnik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će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dogovoriti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neophodni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set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testova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je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potrebno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obaviti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prije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primopredaje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vlakana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upotrebu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.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Takođe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,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Korisnik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Telekom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će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zaključiti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poseban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ugovor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o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održavanju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koji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će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uključivati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definisane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parametre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kvaliteta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usluge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>.</w:t>
      </w:r>
    </w:p>
    <w:p w:rsidR="008311D6" w:rsidRPr="008311D6" w:rsidRDefault="008311D6" w:rsidP="008311D6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5E5E5E"/>
          <w:sz w:val="18"/>
          <w:szCs w:val="18"/>
        </w:rPr>
      </w:pP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Godišnju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naknadu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Uslugu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Održavanja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, Telekom se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obavezuje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da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Korisniku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pruži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usluge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redovnog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održavanja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,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otklanjanja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kvarova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porpavke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optičkih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vlakana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. Telekom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će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obezbijediti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da se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optička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Vlakna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održavaju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efikasno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način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koji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omogućava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njihovo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nesmetano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korišćenje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skladu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važećim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standardima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oblasti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elektronskih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komunikacija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>.</w:t>
      </w:r>
    </w:p>
    <w:p w:rsidR="008311D6" w:rsidRPr="008311D6" w:rsidRDefault="008311D6" w:rsidP="008311D6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5E5E5E"/>
          <w:sz w:val="18"/>
          <w:szCs w:val="18"/>
        </w:rPr>
      </w:pP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Godišnja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naknada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Uslugu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održavanja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iznosi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2,5%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od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fakturisane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IRU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naknade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obračunava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se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tokom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cjelokupnog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trajanja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ugovornog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perioda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.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prvu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poslednju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godinu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važenja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ugovora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iznos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godišnje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naknade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je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proporcionalan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broju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dana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toku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godine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tokom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kojih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je Telekom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Korisniku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pružao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Usluge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održavanja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>.</w:t>
      </w:r>
    </w:p>
    <w:p w:rsidR="008311D6" w:rsidRPr="008311D6" w:rsidRDefault="008311D6" w:rsidP="008311D6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5E5E5E"/>
          <w:sz w:val="18"/>
          <w:szCs w:val="18"/>
        </w:rPr>
      </w:pPr>
      <w:proofErr w:type="spellStart"/>
      <w:r w:rsidRPr="008311D6">
        <w:rPr>
          <w:rFonts w:ascii="Arial" w:eastAsia="Times New Roman" w:hAnsi="Arial" w:cs="Arial"/>
          <w:b/>
          <w:bCs/>
          <w:i/>
          <w:iCs/>
          <w:color w:val="5E5E5E"/>
          <w:sz w:val="18"/>
          <w:szCs w:val="18"/>
        </w:rPr>
        <w:t>Usluga</w:t>
      </w:r>
      <w:proofErr w:type="spellEnd"/>
      <w:r w:rsidRPr="008311D6">
        <w:rPr>
          <w:rFonts w:ascii="Arial" w:eastAsia="Times New Roman" w:hAnsi="Arial" w:cs="Arial"/>
          <w:b/>
          <w:bCs/>
          <w:i/>
          <w:iCs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b/>
          <w:bCs/>
          <w:i/>
          <w:iCs/>
          <w:color w:val="5E5E5E"/>
          <w:sz w:val="18"/>
          <w:szCs w:val="18"/>
        </w:rPr>
        <w:t>kolokacije</w:t>
      </w:r>
      <w:proofErr w:type="spellEnd"/>
    </w:p>
    <w:p w:rsidR="008311D6" w:rsidRPr="008311D6" w:rsidRDefault="008311D6" w:rsidP="008311D6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5E5E5E"/>
          <w:sz w:val="18"/>
          <w:szCs w:val="18"/>
        </w:rPr>
      </w:pPr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Telekom,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opciono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,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Korisniku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nudi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Uslugu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kolokacije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,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podrazumijeva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pravo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instaliranje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,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korišćenje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održavanje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Kolocirane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opreme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Telekomovim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prostorima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kolokaciju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,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njeno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povezivanje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optička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vlakna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predmet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IRU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usluge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.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Kolocirana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oprema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smislu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IRU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usluge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podrazumijeva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opremu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je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vlasništvu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Korisnika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ili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je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iznajmljena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od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strane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Korisnika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, a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se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koristi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isključivo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vezi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IRU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uslugom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>.</w:t>
      </w:r>
    </w:p>
    <w:p w:rsidR="008311D6" w:rsidRPr="008311D6" w:rsidRDefault="008311D6" w:rsidP="008311D6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5E5E5E"/>
          <w:sz w:val="18"/>
          <w:szCs w:val="18"/>
        </w:rPr>
      </w:pP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Uslovi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pružanje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Usluge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kolokacije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,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uključujući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obim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kvalitet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primijenjenih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usluga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se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ugovaraju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zasebnim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ugovorom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. Telekom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će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održavati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prostore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kolokaciju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skladu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standardima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oblasti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elektronskih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komunikacija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>.</w:t>
      </w:r>
    </w:p>
    <w:p w:rsidR="008311D6" w:rsidRPr="008311D6" w:rsidRDefault="008311D6" w:rsidP="008311D6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5E5E5E"/>
          <w:sz w:val="18"/>
          <w:szCs w:val="18"/>
        </w:rPr>
      </w:pP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Naknada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kolokaciju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sastoji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se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iz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jednokratne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naknade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godišnje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naknade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korišćenje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kolokacionog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prostora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.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Jedinica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obračun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Naknade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kolokaciju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je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Korisna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površina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,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tj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.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površina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potrebna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instalaciju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opsluživanje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jednog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standardnog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telekomunikacionog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ormana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dimenzija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600 mm (W) x 600 mm (D) x 2200 mm (H).</w:t>
      </w:r>
    </w:p>
    <w:p w:rsidR="008311D6" w:rsidRPr="008311D6" w:rsidRDefault="008311D6" w:rsidP="008311D6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5E5E5E"/>
          <w:sz w:val="18"/>
          <w:szCs w:val="18"/>
        </w:rPr>
      </w:pP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Jednokratna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naknada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Uslugu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kolokacije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iznosi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800,00 EUR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Korisnoj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površini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,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ukoliko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Telekomovim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prostorima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kolokaciju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postoje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slobodne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Korisne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površine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,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kao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zadovoljavajući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kapacitet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elektroenergetskih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klimatizacionih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postrojenja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dovoljan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da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opsluži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Kolociranu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opremu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skladu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, od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strane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korisnika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,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dostavljenim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lastRenderedPageBreak/>
        <w:t>specifikacijama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opreme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.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Ukoliko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je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smještaj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Kolocirane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opreme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potrebno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izvršiti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adaptaciju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smislu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građevinskih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radova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>/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ili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nadogradnje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elektroenergetskih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klimatizacionih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postrojenja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ovaj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iznos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može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biti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uvećan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realne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direktne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troškove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Telekoma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>.</w:t>
      </w:r>
    </w:p>
    <w:p w:rsidR="008311D6" w:rsidRPr="008311D6" w:rsidRDefault="008311D6" w:rsidP="008311D6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5E5E5E"/>
          <w:sz w:val="18"/>
          <w:szCs w:val="18"/>
        </w:rPr>
      </w:pP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Godišnja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naknada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Uslugu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kolokacije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Korisnoj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površini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zavisnosti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od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trajanja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ugovornog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odnosa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iznosi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>:</w:t>
      </w:r>
    </w:p>
    <w:tbl>
      <w:tblPr>
        <w:tblW w:w="10459" w:type="dxa"/>
        <w:tblBorders>
          <w:top w:val="single" w:sz="6" w:space="0" w:color="DDDDDD"/>
          <w:left w:val="single" w:sz="6" w:space="0" w:color="DDDDDD"/>
          <w:bottom w:val="single" w:sz="18" w:space="0" w:color="E20074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6"/>
        <w:gridCol w:w="7473"/>
      </w:tblGrid>
      <w:tr w:rsidR="008311D6" w:rsidRPr="008311D6" w:rsidTr="008311D6">
        <w:tc>
          <w:tcPr>
            <w:tcW w:w="0" w:type="auto"/>
            <w:tcBorders>
              <w:bottom w:val="single" w:sz="12" w:space="0" w:color="E20074"/>
            </w:tcBorders>
            <w:shd w:val="clear" w:color="auto" w:fill="EFEFEF"/>
            <w:tcMar>
              <w:top w:w="120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198" w:lineRule="atLeast"/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</w:pPr>
            <w:proofErr w:type="spellStart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>Ugovorni</w:t>
            </w:r>
            <w:proofErr w:type="spellEnd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 xml:space="preserve"> period</w:t>
            </w:r>
          </w:p>
        </w:tc>
        <w:tc>
          <w:tcPr>
            <w:tcW w:w="0" w:type="auto"/>
            <w:tcBorders>
              <w:bottom w:val="single" w:sz="12" w:space="0" w:color="E20074"/>
            </w:tcBorders>
            <w:shd w:val="clear" w:color="auto" w:fill="EFEFEF"/>
            <w:tcMar>
              <w:top w:w="120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198" w:lineRule="atLeast"/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</w:pPr>
            <w:proofErr w:type="spellStart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>Godišnja</w:t>
            </w:r>
            <w:proofErr w:type="spellEnd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 xml:space="preserve"> </w:t>
            </w:r>
            <w:proofErr w:type="spellStart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>naknada</w:t>
            </w:r>
            <w:proofErr w:type="spellEnd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 xml:space="preserve"> </w:t>
            </w:r>
            <w:proofErr w:type="spellStart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>za</w:t>
            </w:r>
            <w:proofErr w:type="spellEnd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 xml:space="preserve"> </w:t>
            </w:r>
            <w:proofErr w:type="spellStart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>Uslugu</w:t>
            </w:r>
            <w:proofErr w:type="spellEnd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 xml:space="preserve"> </w:t>
            </w:r>
            <w:proofErr w:type="spellStart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>kolokacije</w:t>
            </w:r>
            <w:proofErr w:type="spellEnd"/>
            <w:r w:rsidRPr="008311D6">
              <w:rPr>
                <w:rFonts w:ascii="tele-groteskhalregular" w:eastAsia="Times New Roman" w:hAnsi="tele-groteskhalregular" w:cs="Times New Roman"/>
                <w:b/>
                <w:bCs/>
                <w:color w:val="4B4B4B"/>
                <w:sz w:val="17"/>
                <w:szCs w:val="17"/>
              </w:rPr>
              <w:t xml:space="preserve"> (EUR)</w:t>
            </w:r>
          </w:p>
        </w:tc>
      </w:tr>
      <w:tr w:rsidR="008311D6" w:rsidRPr="008311D6" w:rsidTr="008311D6">
        <w:tc>
          <w:tcPr>
            <w:tcW w:w="0" w:type="auto"/>
            <w:tcBorders>
              <w:bottom w:val="single" w:sz="6" w:space="0" w:color="E5E5E5"/>
            </w:tcBorders>
            <w:shd w:val="clear" w:color="auto" w:fill="auto"/>
            <w:tcMar>
              <w:top w:w="120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234" w:lineRule="atLeast"/>
              <w:jc w:val="center"/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</w:pPr>
            <w:r w:rsidRPr="008311D6"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  <w:t xml:space="preserve">5 </w:t>
            </w:r>
            <w:proofErr w:type="spellStart"/>
            <w:r w:rsidRPr="008311D6"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auto"/>
            <w:tcMar>
              <w:top w:w="120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234" w:lineRule="atLeast"/>
              <w:jc w:val="center"/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</w:pPr>
            <w:r w:rsidRPr="008311D6"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  <w:t>6.720,00</w:t>
            </w:r>
          </w:p>
        </w:tc>
      </w:tr>
      <w:tr w:rsidR="008311D6" w:rsidRPr="008311D6" w:rsidTr="008311D6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234" w:lineRule="atLeast"/>
              <w:jc w:val="center"/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</w:pPr>
            <w:r w:rsidRPr="008311D6"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  <w:t xml:space="preserve">10 </w:t>
            </w:r>
            <w:proofErr w:type="spellStart"/>
            <w:r w:rsidRPr="008311D6"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120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234" w:lineRule="atLeast"/>
              <w:jc w:val="center"/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</w:pPr>
            <w:r w:rsidRPr="008311D6"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  <w:t>6.120,00</w:t>
            </w:r>
          </w:p>
        </w:tc>
      </w:tr>
      <w:tr w:rsidR="008311D6" w:rsidRPr="008311D6" w:rsidTr="008311D6">
        <w:tc>
          <w:tcPr>
            <w:tcW w:w="0" w:type="auto"/>
            <w:tcBorders>
              <w:bottom w:val="single" w:sz="6" w:space="0" w:color="E5E5E5"/>
            </w:tcBorders>
            <w:shd w:val="clear" w:color="auto" w:fill="auto"/>
            <w:tcMar>
              <w:top w:w="120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234" w:lineRule="atLeast"/>
              <w:jc w:val="center"/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</w:pPr>
            <w:r w:rsidRPr="008311D6"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  <w:t xml:space="preserve">15 </w:t>
            </w:r>
            <w:proofErr w:type="spellStart"/>
            <w:r w:rsidRPr="008311D6"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auto"/>
            <w:tcMar>
              <w:top w:w="120" w:type="dxa"/>
              <w:left w:w="135" w:type="dxa"/>
              <w:bottom w:w="120" w:type="dxa"/>
              <w:right w:w="135" w:type="dxa"/>
            </w:tcMar>
            <w:vAlign w:val="center"/>
            <w:hideMark/>
          </w:tcPr>
          <w:p w:rsidR="008311D6" w:rsidRPr="008311D6" w:rsidRDefault="008311D6" w:rsidP="008311D6">
            <w:pPr>
              <w:spacing w:after="0" w:line="234" w:lineRule="atLeast"/>
              <w:jc w:val="center"/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</w:pPr>
            <w:r w:rsidRPr="008311D6">
              <w:rPr>
                <w:rFonts w:ascii="tele-groteskhalregular" w:eastAsia="Times New Roman" w:hAnsi="tele-groteskhalregular" w:cs="Times New Roman"/>
                <w:color w:val="4B4B4B"/>
                <w:sz w:val="20"/>
                <w:szCs w:val="20"/>
              </w:rPr>
              <w:t>5.520,00 </w:t>
            </w:r>
          </w:p>
        </w:tc>
      </w:tr>
    </w:tbl>
    <w:p w:rsidR="008311D6" w:rsidRPr="008311D6" w:rsidRDefault="008311D6" w:rsidP="008311D6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5E5E5E"/>
          <w:sz w:val="18"/>
          <w:szCs w:val="18"/>
        </w:rPr>
      </w:pPr>
    </w:p>
    <w:p w:rsidR="008311D6" w:rsidRPr="008311D6" w:rsidRDefault="008311D6" w:rsidP="008311D6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5E5E5E"/>
          <w:sz w:val="18"/>
          <w:szCs w:val="18"/>
        </w:rPr>
      </w:pP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Iznos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naknade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naveden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Tabeli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3 ne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sadrži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PDV.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Isti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će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biti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obračunat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od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strane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Telekoma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skladu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važećim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propisima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.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prvu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poslednju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godinu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važenja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Ugovora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iznos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godišnje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naknade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je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proporcionalan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broju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dana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toku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godine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tokom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kojih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je Telekom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Korisniku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pružao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Usluge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kolokacije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>.</w:t>
      </w:r>
    </w:p>
    <w:p w:rsidR="008311D6" w:rsidRPr="008311D6" w:rsidRDefault="008311D6" w:rsidP="008311D6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5E5E5E"/>
          <w:sz w:val="18"/>
          <w:szCs w:val="18"/>
        </w:rPr>
      </w:pP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Cijena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električne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energije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je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uključena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Godišnju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naknadu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Uslugu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kolokacije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ukoliko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potrošnja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opreme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Korisnika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ne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prelazi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2 kW/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ormanu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.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Ako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je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potrošnja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opreme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Korisnika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veća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od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navedene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, Telekom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će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naplatiti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Korisniku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veću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potrošnju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osnovu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dokazanih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direktnih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troškova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. 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zavisnosti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od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potreba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Korisnika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, od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vrste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opreme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koju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namjerava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da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poveže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optička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vlakna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, od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karakteristika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konkretnog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prostora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kolokaciju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sl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, Telekom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Korisnik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će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dogovoriti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neophodni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set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testova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je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potrebno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obaviti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prije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primopredaje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kolokacionog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prostora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upotrebu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>.</w:t>
      </w:r>
    </w:p>
    <w:p w:rsidR="008311D6" w:rsidRPr="008311D6" w:rsidRDefault="008311D6" w:rsidP="008311D6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5E5E5E"/>
          <w:sz w:val="18"/>
          <w:szCs w:val="18"/>
        </w:rPr>
      </w:pP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Takođe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,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Korisnik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Telekom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će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zaključiti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poseban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ugovor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o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održavanju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kolokacionog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prostora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koji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će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uključivati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definisane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parametre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kvaliteta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usluge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>.</w:t>
      </w:r>
    </w:p>
    <w:p w:rsidR="008311D6" w:rsidRPr="008311D6" w:rsidRDefault="008311D6" w:rsidP="008311D6">
      <w:pPr>
        <w:shd w:val="clear" w:color="auto" w:fill="FFFFFF"/>
        <w:spacing w:after="225" w:line="315" w:lineRule="atLeast"/>
        <w:rPr>
          <w:rFonts w:ascii="Arial" w:eastAsia="Times New Roman" w:hAnsi="Arial" w:cs="Arial"/>
          <w:color w:val="5E5E5E"/>
          <w:sz w:val="18"/>
          <w:szCs w:val="18"/>
        </w:rPr>
      </w:pP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Zahtjeve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za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korišćenje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IRU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usluge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dostavljati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na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color w:val="5E5E5E"/>
          <w:sz w:val="18"/>
          <w:szCs w:val="18"/>
        </w:rPr>
        <w:t>adresu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t>:</w:t>
      </w:r>
      <w:r w:rsidRPr="008311D6">
        <w:rPr>
          <w:rFonts w:ascii="Arial" w:eastAsia="Times New Roman" w:hAnsi="Arial" w:cs="Arial"/>
          <w:color w:val="5E5E5E"/>
          <w:sz w:val="18"/>
          <w:szCs w:val="18"/>
        </w:rPr>
        <w:br/>
      </w:r>
      <w:proofErr w:type="spellStart"/>
      <w:r w:rsidRPr="008311D6">
        <w:rPr>
          <w:rFonts w:ascii="Arial" w:eastAsia="Times New Roman" w:hAnsi="Arial" w:cs="Arial"/>
          <w:b/>
          <w:bCs/>
          <w:color w:val="5E5E5E"/>
          <w:sz w:val="18"/>
          <w:szCs w:val="18"/>
        </w:rPr>
        <w:t>Crnogorski</w:t>
      </w:r>
      <w:proofErr w:type="spellEnd"/>
      <w:r w:rsidRPr="008311D6">
        <w:rPr>
          <w:rFonts w:ascii="Arial" w:eastAsia="Times New Roman" w:hAnsi="Arial" w:cs="Arial"/>
          <w:b/>
          <w:bCs/>
          <w:color w:val="5E5E5E"/>
          <w:sz w:val="18"/>
          <w:szCs w:val="18"/>
        </w:rPr>
        <w:t xml:space="preserve"> Telekom A.D.</w:t>
      </w:r>
      <w:r w:rsidRPr="008311D6">
        <w:rPr>
          <w:rFonts w:ascii="Arial" w:eastAsia="Times New Roman" w:hAnsi="Arial" w:cs="Arial"/>
          <w:color w:val="5E5E5E"/>
          <w:sz w:val="18"/>
          <w:szCs w:val="18"/>
        </w:rPr>
        <w:br/>
      </w:r>
      <w:proofErr w:type="spellStart"/>
      <w:r w:rsidRPr="008311D6">
        <w:rPr>
          <w:rFonts w:ascii="Arial" w:eastAsia="Times New Roman" w:hAnsi="Arial" w:cs="Arial"/>
          <w:b/>
          <w:bCs/>
          <w:color w:val="5E5E5E"/>
          <w:sz w:val="18"/>
          <w:szCs w:val="18"/>
        </w:rPr>
        <w:t>Direktorat</w:t>
      </w:r>
      <w:proofErr w:type="spellEnd"/>
      <w:r w:rsidRPr="008311D6">
        <w:rPr>
          <w:rFonts w:ascii="Arial" w:eastAsia="Times New Roman" w:hAnsi="Arial" w:cs="Arial"/>
          <w:b/>
          <w:bCs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b/>
          <w:bCs/>
          <w:color w:val="5E5E5E"/>
          <w:sz w:val="18"/>
          <w:szCs w:val="18"/>
        </w:rPr>
        <w:t>za</w:t>
      </w:r>
      <w:proofErr w:type="spellEnd"/>
      <w:r w:rsidRPr="008311D6">
        <w:rPr>
          <w:rFonts w:ascii="Arial" w:eastAsia="Times New Roman" w:hAnsi="Arial" w:cs="Arial"/>
          <w:b/>
          <w:bCs/>
          <w:color w:val="5E5E5E"/>
          <w:sz w:val="18"/>
          <w:szCs w:val="18"/>
        </w:rPr>
        <w:t xml:space="preserve"> </w:t>
      </w:r>
      <w:proofErr w:type="spellStart"/>
      <w:r w:rsidRPr="008311D6">
        <w:rPr>
          <w:rFonts w:ascii="Arial" w:eastAsia="Times New Roman" w:hAnsi="Arial" w:cs="Arial"/>
          <w:b/>
          <w:bCs/>
          <w:color w:val="5E5E5E"/>
          <w:sz w:val="18"/>
          <w:szCs w:val="18"/>
        </w:rPr>
        <w:t>veleprodaju</w:t>
      </w:r>
      <w:proofErr w:type="spellEnd"/>
      <w:r w:rsidRPr="008311D6">
        <w:rPr>
          <w:rFonts w:ascii="Arial" w:eastAsia="Times New Roman" w:hAnsi="Arial" w:cs="Arial"/>
          <w:color w:val="5E5E5E"/>
          <w:sz w:val="18"/>
          <w:szCs w:val="18"/>
        </w:rPr>
        <w:br/>
      </w:r>
      <w:proofErr w:type="spellStart"/>
      <w:r w:rsidRPr="008311D6">
        <w:rPr>
          <w:rFonts w:ascii="Arial" w:eastAsia="Times New Roman" w:hAnsi="Arial" w:cs="Arial"/>
          <w:b/>
          <w:bCs/>
          <w:color w:val="5E5E5E"/>
          <w:sz w:val="18"/>
          <w:szCs w:val="18"/>
        </w:rPr>
        <w:t>Moskovska</w:t>
      </w:r>
      <w:proofErr w:type="spellEnd"/>
      <w:r w:rsidRPr="008311D6">
        <w:rPr>
          <w:rFonts w:ascii="Arial" w:eastAsia="Times New Roman" w:hAnsi="Arial" w:cs="Arial"/>
          <w:b/>
          <w:bCs/>
          <w:color w:val="5E5E5E"/>
          <w:sz w:val="18"/>
          <w:szCs w:val="18"/>
        </w:rPr>
        <w:t xml:space="preserve"> 29, Podgorica.</w:t>
      </w:r>
    </w:p>
    <w:p w:rsidR="00157AEF" w:rsidRDefault="00157AEF">
      <w:bookmarkStart w:id="0" w:name="_GoBack"/>
      <w:bookmarkEnd w:id="0"/>
    </w:p>
    <w:sectPr w:rsidR="00157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-groteskhal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71"/>
    <w:rsid w:val="00157AEF"/>
    <w:rsid w:val="008311D6"/>
    <w:rsid w:val="00B1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D51BA-7205-458F-9AE3-A8829D2B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11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1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5919</Characters>
  <Application>Microsoft Office Word</Application>
  <DocSecurity>0</DocSecurity>
  <Lines>49</Lines>
  <Paragraphs>13</Paragraphs>
  <ScaleCrop>false</ScaleCrop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2019-03-20T14:01:00Z</dcterms:created>
  <dcterms:modified xsi:type="dcterms:W3CDTF">2019-03-20T14:01:00Z</dcterms:modified>
</cp:coreProperties>
</file>